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52433120"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sidR="00FD19B4" w:rsidRPr="00FD19B4">
        <w:rPr>
          <w:rFonts w:ascii="ＭＳ Ｐゴシック" w:eastAsia="ＭＳ Ｐゴシック" w:hAnsi="ＭＳ Ｐゴシック" w:hint="eastAsia"/>
          <w:b/>
          <w:bCs/>
          <w:sz w:val="28"/>
          <w:szCs w:val="28"/>
          <w:u w:val="single"/>
        </w:rPr>
        <w:t>私から始まる平和統一</w:t>
      </w:r>
      <w:r>
        <w:rPr>
          <w:rFonts w:ascii="ＭＳ Ｐゴシック" w:eastAsia="ＭＳ Ｐゴシック" w:hAnsi="ＭＳ Ｐゴシック" w:hint="eastAsia"/>
          <w:b/>
          <w:bCs/>
          <w:sz w:val="28"/>
          <w:szCs w:val="28"/>
          <w:u w:val="single"/>
        </w:rPr>
        <w:t xml:space="preserve">　　　　　　　　　　　　　　　　</w:t>
      </w:r>
    </w:p>
    <w:p w14:paraId="55311EA3" w14:textId="1A52EF06"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r w:rsidR="00FD19B4" w:rsidRPr="00FD19B4">
        <w:rPr>
          <w:rFonts w:ascii="ＭＳ Ｐゴシック" w:eastAsia="ＭＳ Ｐゴシック" w:hAnsi="ＭＳ Ｐゴシック" w:hint="eastAsia"/>
          <w:b/>
          <w:bCs/>
          <w:sz w:val="28"/>
          <w:szCs w:val="28"/>
          <w:u w:val="single"/>
        </w:rPr>
        <w:t>中里博幸</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6A56C08B" w14:textId="7172CCB2" w:rsidR="00FD19B4" w:rsidRPr="00FD19B4" w:rsidRDefault="00601169" w:rsidP="00FD19B4">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r w:rsidR="00FD19B4" w:rsidRPr="00FD19B4">
        <w:rPr>
          <w:rFonts w:hint="eastAsia"/>
        </w:rPr>
        <w:t xml:space="preserve"> </w:t>
      </w:r>
      <w:r w:rsidR="00FD19B4" w:rsidRPr="00FD19B4">
        <w:rPr>
          <w:rFonts w:ascii="ＭＳ Ｐゴシック" w:eastAsia="ＭＳ Ｐゴシック" w:hAnsi="ＭＳ Ｐゴシック" w:hint="eastAsia"/>
          <w:szCs w:val="21"/>
        </w:rPr>
        <w:t xml:space="preserve">私から始まる平和統一　</w:t>
      </w:r>
    </w:p>
    <w:p w14:paraId="1D2573BB"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r w:rsidRPr="00FD19B4">
        <w:rPr>
          <w:rFonts w:ascii="ＭＳ Ｐゴシック" w:eastAsia="ＭＳ Ｐゴシック" w:hAnsi="ＭＳ Ｐゴシック" w:hint="eastAsia"/>
          <w:szCs w:val="21"/>
        </w:rPr>
        <w:t>北海道エリア旭川教会　中里博幸</w:t>
      </w:r>
    </w:p>
    <w:p w14:paraId="40D5A19A"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p>
    <w:p w14:paraId="5EA57486"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r w:rsidRPr="00FD19B4">
        <w:rPr>
          <w:rFonts w:ascii="ＭＳ Ｐゴシック" w:eastAsia="ＭＳ Ｐゴシック" w:hAnsi="ＭＳ Ｐゴシック" w:hint="eastAsia"/>
          <w:szCs w:val="21"/>
        </w:rPr>
        <w:t>平和を願わない人は誰一人いないと思いますが、</w:t>
      </w:r>
    </w:p>
    <w:p w14:paraId="0C7421E2"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r w:rsidRPr="00FD19B4">
        <w:rPr>
          <w:rFonts w:ascii="ＭＳ Ｐゴシック" w:eastAsia="ＭＳ Ｐゴシック" w:hAnsi="ＭＳ Ｐゴシック" w:hint="eastAsia"/>
          <w:szCs w:val="21"/>
        </w:rPr>
        <w:t>一向に戦争はなくならず、世界各地で闘争が繰り広げられています。</w:t>
      </w:r>
    </w:p>
    <w:p w14:paraId="5E448F7A"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p>
    <w:p w14:paraId="074113E4"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r w:rsidRPr="00FD19B4">
        <w:rPr>
          <w:rFonts w:ascii="ＭＳ Ｐゴシック" w:eastAsia="ＭＳ Ｐゴシック" w:hAnsi="ＭＳ Ｐゴシック" w:hint="eastAsia"/>
          <w:szCs w:val="21"/>
        </w:rPr>
        <w:t>闘争、軋轢の最たるものは朝鮮半島の南北の対立に見ることができると思いますが、</w:t>
      </w:r>
    </w:p>
    <w:p w14:paraId="66A4B9C3"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r w:rsidRPr="00FD19B4">
        <w:rPr>
          <w:rFonts w:ascii="ＭＳ Ｐゴシック" w:eastAsia="ＭＳ Ｐゴシック" w:hAnsi="ＭＳ Ｐゴシック" w:hint="eastAsia"/>
          <w:szCs w:val="21"/>
        </w:rPr>
        <w:t>同じ民族でありながら、何故に血で血を洗うような関係性となってしまったのでしょうか？</w:t>
      </w:r>
    </w:p>
    <w:p w14:paraId="587766EC"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p>
    <w:p w14:paraId="77B459F3"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r w:rsidRPr="00FD19B4">
        <w:rPr>
          <w:rFonts w:ascii="ＭＳ Ｐゴシック" w:eastAsia="ＭＳ Ｐゴシック" w:hAnsi="ＭＳ Ｐゴシック" w:hint="eastAsia"/>
          <w:szCs w:val="21"/>
        </w:rPr>
        <w:t>もはやこうした対立は人間の力ではどうにもならないところにきていると感じます。</w:t>
      </w:r>
    </w:p>
    <w:p w14:paraId="5CEBC6E5"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p>
    <w:p w14:paraId="5C3A36B3"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r w:rsidRPr="00FD19B4">
        <w:rPr>
          <w:rFonts w:ascii="ＭＳ Ｐゴシック" w:eastAsia="ＭＳ Ｐゴシック" w:hAnsi="ＭＳ Ｐゴシック" w:hint="eastAsia"/>
          <w:szCs w:val="21"/>
        </w:rPr>
        <w:t>第二次世界大戦後、世界の平和の維持のために創設された国際連合も、経済界も宗教界もこの対立の解決に向けて無力さを露呈しています。</w:t>
      </w:r>
    </w:p>
    <w:p w14:paraId="4051665E"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p>
    <w:p w14:paraId="0DD0E8DC"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r w:rsidRPr="00FD19B4">
        <w:rPr>
          <w:rFonts w:ascii="ＭＳ Ｐゴシック" w:eastAsia="ＭＳ Ｐゴシック" w:hAnsi="ＭＳ Ｐゴシック" w:hint="eastAsia"/>
          <w:szCs w:val="21"/>
        </w:rPr>
        <w:t>私はより根本的な、神がかり的な解決が望まれると考えます。</w:t>
      </w:r>
    </w:p>
    <w:p w14:paraId="2282090E"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p>
    <w:p w14:paraId="71A21C59"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r w:rsidRPr="00FD19B4">
        <w:rPr>
          <w:rFonts w:ascii="ＭＳ Ｐゴシック" w:eastAsia="ＭＳ Ｐゴシック" w:hAnsi="ＭＳ Ｐゴシック" w:hint="eastAsia"/>
          <w:szCs w:val="21"/>
        </w:rPr>
        <w:t>どんな悪人と言われる方であっても、</w:t>
      </w:r>
    </w:p>
    <w:p w14:paraId="7326805C"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r w:rsidRPr="00FD19B4">
        <w:rPr>
          <w:rFonts w:ascii="ＭＳ Ｐゴシック" w:eastAsia="ＭＳ Ｐゴシック" w:hAnsi="ＭＳ Ｐゴシック" w:hint="eastAsia"/>
          <w:szCs w:val="21"/>
        </w:rPr>
        <w:t>良心は存在します。</w:t>
      </w:r>
    </w:p>
    <w:p w14:paraId="27173758"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p>
    <w:p w14:paraId="40B2F06D"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r w:rsidRPr="00FD19B4">
        <w:rPr>
          <w:rFonts w:ascii="ＭＳ Ｐゴシック" w:eastAsia="ＭＳ Ｐゴシック" w:hAnsi="ＭＳ Ｐゴシック" w:hint="eastAsia"/>
          <w:szCs w:val="21"/>
        </w:rPr>
        <w:t>良心は万人が所持している心であり、神様が善なる方向に人を導こうとされる最前線です。</w:t>
      </w:r>
    </w:p>
    <w:p w14:paraId="2BBE6E0D"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p>
    <w:p w14:paraId="4390A424"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r w:rsidRPr="00FD19B4">
        <w:rPr>
          <w:rFonts w:ascii="ＭＳ Ｐゴシック" w:eastAsia="ＭＳ Ｐゴシック" w:hAnsi="ＭＳ Ｐゴシック" w:hint="eastAsia"/>
          <w:szCs w:val="21"/>
        </w:rPr>
        <w:t>人類始祖の堕落により、霊界においても地上界においても悪の勢力が幅を利かせるようになっていますが、再臨主の出現により、今現在善の勢力が悪の勢力に代わろうとしています。</w:t>
      </w:r>
    </w:p>
    <w:p w14:paraId="1EF5D47E"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p>
    <w:p w14:paraId="57E5B053"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r w:rsidRPr="00FD19B4">
        <w:rPr>
          <w:rFonts w:ascii="ＭＳ Ｐゴシック" w:eastAsia="ＭＳ Ｐゴシック" w:hAnsi="ＭＳ Ｐゴシック" w:hint="eastAsia"/>
          <w:szCs w:val="21"/>
        </w:rPr>
        <w:t>世界を見渡すに、まだまだ神様が役事できる領域が限られており、悪の勢力に及ばないため戦争や闘争の収束ができないでいるのだと思います。</w:t>
      </w:r>
    </w:p>
    <w:p w14:paraId="21AA5617"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p>
    <w:p w14:paraId="1EB58673"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r w:rsidRPr="00FD19B4">
        <w:rPr>
          <w:rFonts w:ascii="ＭＳ Ｐゴシック" w:eastAsia="ＭＳ Ｐゴシック" w:hAnsi="ＭＳ Ｐゴシック" w:hint="eastAsia"/>
          <w:szCs w:val="21"/>
        </w:rPr>
        <w:t>南北朝鮮を分つ北緯</w:t>
      </w:r>
      <w:r w:rsidRPr="00FD19B4">
        <w:rPr>
          <w:rFonts w:ascii="ＭＳ Ｐゴシック" w:eastAsia="ＭＳ Ｐゴシック" w:hAnsi="ＭＳ Ｐゴシック"/>
          <w:szCs w:val="21"/>
        </w:rPr>
        <w:t>38度線は、私の心にも存在します。</w:t>
      </w:r>
    </w:p>
    <w:p w14:paraId="34F3B84E"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p>
    <w:p w14:paraId="04F2499A"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r w:rsidRPr="00FD19B4">
        <w:rPr>
          <w:rFonts w:ascii="ＭＳ Ｐゴシック" w:eastAsia="ＭＳ Ｐゴシック" w:hAnsi="ＭＳ Ｐゴシック" w:hint="eastAsia"/>
          <w:szCs w:val="21"/>
        </w:rPr>
        <w:t>私の心も願わざる悪の力の影響で願わざる悪の行動をとってしまうことのなんと多いことでしょう。</w:t>
      </w:r>
    </w:p>
    <w:p w14:paraId="5DFE5470"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p>
    <w:p w14:paraId="00FA2F13"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r w:rsidRPr="00FD19B4">
        <w:rPr>
          <w:rFonts w:ascii="ＭＳ Ｐゴシック" w:eastAsia="ＭＳ Ｐゴシック" w:hAnsi="ＭＳ Ｐゴシック" w:hint="eastAsia"/>
          <w:szCs w:val="21"/>
        </w:rPr>
        <w:t>私は誓います。</w:t>
      </w:r>
    </w:p>
    <w:p w14:paraId="18EC8BF9"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p>
    <w:p w14:paraId="45C29F68"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r w:rsidRPr="00FD19B4">
        <w:rPr>
          <w:rFonts w:ascii="ＭＳ Ｐゴシック" w:eastAsia="ＭＳ Ｐゴシック" w:hAnsi="ＭＳ Ｐゴシック" w:hint="eastAsia"/>
          <w:szCs w:val="21"/>
        </w:rPr>
        <w:t>私個人の心の中の</w:t>
      </w:r>
      <w:r w:rsidRPr="00FD19B4">
        <w:rPr>
          <w:rFonts w:ascii="ＭＳ Ｐゴシック" w:eastAsia="ＭＳ Ｐゴシック" w:hAnsi="ＭＳ Ｐゴシック"/>
          <w:szCs w:val="21"/>
        </w:rPr>
        <w:t>38度線を、自分自身が再臨主と一つとなることで善の心善の行動を実践できるようになることで撤廃し、善に生きることができるようになっていきます。</w:t>
      </w:r>
    </w:p>
    <w:p w14:paraId="566A36DA"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p>
    <w:p w14:paraId="43C73817"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r w:rsidRPr="00FD19B4">
        <w:rPr>
          <w:rFonts w:ascii="ＭＳ Ｐゴシック" w:eastAsia="ＭＳ Ｐゴシック" w:hAnsi="ＭＳ Ｐゴシック" w:hint="eastAsia"/>
          <w:szCs w:val="21"/>
        </w:rPr>
        <w:t>私が神様と一つとなった人となっていくことで、</w:t>
      </w:r>
    </w:p>
    <w:p w14:paraId="4CBF9D9A"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r w:rsidRPr="00FD19B4">
        <w:rPr>
          <w:rFonts w:ascii="ＭＳ Ｐゴシック" w:eastAsia="ＭＳ Ｐゴシック" w:hAnsi="ＭＳ Ｐゴシック" w:hint="eastAsia"/>
          <w:szCs w:val="21"/>
        </w:rPr>
        <w:t>私の周りの人も善に感化され、</w:t>
      </w:r>
    </w:p>
    <w:p w14:paraId="6E0DEF37"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r w:rsidRPr="00FD19B4">
        <w:rPr>
          <w:rFonts w:ascii="ＭＳ Ｐゴシック" w:eastAsia="ＭＳ Ｐゴシック" w:hAnsi="ＭＳ Ｐゴシック" w:hint="eastAsia"/>
          <w:szCs w:val="21"/>
        </w:rPr>
        <w:t>家族が変わり、地域が変わり、国が変わり、世界が変わる図式が見えます。</w:t>
      </w:r>
    </w:p>
    <w:p w14:paraId="279EFBC1"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p>
    <w:p w14:paraId="192CEED0"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r w:rsidRPr="00FD19B4">
        <w:rPr>
          <w:rFonts w:ascii="ＭＳ Ｐゴシック" w:eastAsia="ＭＳ Ｐゴシック" w:hAnsi="ＭＳ Ｐゴシック" w:hint="eastAsia"/>
          <w:szCs w:val="21"/>
        </w:rPr>
        <w:t>そうすることで、神様が安着できる世界が広がり、</w:t>
      </w:r>
    </w:p>
    <w:p w14:paraId="6BD250EA"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r w:rsidRPr="00FD19B4">
        <w:rPr>
          <w:rFonts w:ascii="ＭＳ Ｐゴシック" w:eastAsia="ＭＳ Ｐゴシック" w:hAnsi="ＭＳ Ｐゴシック" w:hint="eastAsia"/>
          <w:szCs w:val="21"/>
        </w:rPr>
        <w:t>全ての万民に神様がともに住む世界が実現し、</w:t>
      </w:r>
    </w:p>
    <w:p w14:paraId="7E77196A"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r w:rsidRPr="00FD19B4">
        <w:rPr>
          <w:rFonts w:ascii="ＭＳ Ｐゴシック" w:eastAsia="ＭＳ Ｐゴシック" w:hAnsi="ＭＳ Ｐゴシック" w:hint="eastAsia"/>
          <w:szCs w:val="21"/>
        </w:rPr>
        <w:t>悪の勢力を追い出し、善の版図を広げ、</w:t>
      </w:r>
    </w:p>
    <w:p w14:paraId="3A16F3D1"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r w:rsidRPr="00FD19B4">
        <w:rPr>
          <w:rFonts w:ascii="ＭＳ Ｐゴシック" w:eastAsia="ＭＳ Ｐゴシック" w:hAnsi="ＭＳ Ｐゴシック" w:hint="eastAsia"/>
          <w:szCs w:val="21"/>
        </w:rPr>
        <w:t>悪人と言われる人も、善に産み変えていけるのが、</w:t>
      </w:r>
    </w:p>
    <w:p w14:paraId="1D945997"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r w:rsidRPr="00FD19B4">
        <w:rPr>
          <w:rFonts w:ascii="ＭＳ Ｐゴシック" w:eastAsia="ＭＳ Ｐゴシック" w:hAnsi="ＭＳ Ｐゴシック" w:hint="eastAsia"/>
          <w:szCs w:val="21"/>
        </w:rPr>
        <w:t>再臨主、真の御父母様と一つになった統一運動であると思います。</w:t>
      </w:r>
    </w:p>
    <w:p w14:paraId="5F3DC654"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p>
    <w:p w14:paraId="5FEE6180"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r w:rsidRPr="00FD19B4">
        <w:rPr>
          <w:rFonts w:ascii="ＭＳ Ｐゴシック" w:eastAsia="ＭＳ Ｐゴシック" w:hAnsi="ＭＳ Ｐゴシック" w:hint="eastAsia"/>
          <w:szCs w:val="21"/>
        </w:rPr>
        <w:t>平和統一は、他でもない、私から始まります。</w:t>
      </w:r>
    </w:p>
    <w:p w14:paraId="571F554C"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p>
    <w:p w14:paraId="681830BB"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r w:rsidRPr="00FD19B4">
        <w:rPr>
          <w:rFonts w:ascii="ＭＳ Ｐゴシック" w:eastAsia="ＭＳ Ｐゴシック" w:hAnsi="ＭＳ Ｐゴシック" w:hint="eastAsia"/>
          <w:szCs w:val="21"/>
        </w:rPr>
        <w:t>ありがとうございます。</w:t>
      </w:r>
    </w:p>
    <w:p w14:paraId="031253E6"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p>
    <w:p w14:paraId="7129497C" w14:textId="77777777" w:rsidR="00FD19B4" w:rsidRPr="00FD19B4"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r w:rsidRPr="00FD19B4">
        <w:rPr>
          <w:rFonts w:ascii="ＭＳ Ｐゴシック" w:eastAsia="ＭＳ Ｐゴシック" w:hAnsi="ＭＳ Ｐゴシック"/>
          <w:szCs w:val="21"/>
        </w:rPr>
        <w:t>2024年5月19日</w:t>
      </w:r>
    </w:p>
    <w:p w14:paraId="0A0AF60E" w14:textId="57F51D53" w:rsidR="00601169" w:rsidRDefault="00FD19B4" w:rsidP="00FD19B4">
      <w:pPr>
        <w:pBdr>
          <w:bottom w:val="single" w:sz="6" w:space="1" w:color="auto"/>
        </w:pBdr>
        <w:ind w:firstLineChars="100" w:firstLine="210"/>
        <w:contextualSpacing/>
        <w:rPr>
          <w:rFonts w:ascii="ＭＳ Ｐゴシック" w:eastAsia="ＭＳ Ｐゴシック" w:hAnsi="ＭＳ Ｐゴシック"/>
          <w:szCs w:val="21"/>
        </w:rPr>
      </w:pPr>
      <w:r w:rsidRPr="00FD19B4">
        <w:rPr>
          <w:rFonts w:ascii="ＭＳ Ｐゴシック" w:eastAsia="ＭＳ Ｐゴシック" w:hAnsi="ＭＳ Ｐゴシック" w:hint="eastAsia"/>
          <w:szCs w:val="21"/>
        </w:rPr>
        <w:t>中里博幸</w:t>
      </w:r>
    </w:p>
    <w:p w14:paraId="618E1B46" w14:textId="77777777" w:rsidR="00601169" w:rsidRDefault="00601169" w:rsidP="00601169">
      <w:pPr>
        <w:ind w:firstLineChars="100" w:firstLine="210"/>
        <w:contextualSpacing/>
        <w:rPr>
          <w:rFonts w:ascii="ＭＳ Ｐゴシック" w:eastAsia="ＭＳ Ｐゴシック" w:hAnsi="ＭＳ Ｐゴシック"/>
          <w:szCs w:val="21"/>
        </w:rPr>
      </w:pPr>
    </w:p>
    <w:p w14:paraId="759AFE4B" w14:textId="77777777" w:rsidR="00601169" w:rsidRPr="00601169" w:rsidRDefault="00601169" w:rsidP="00B03245">
      <w:pPr>
        <w:contextualSpacing/>
        <w:rPr>
          <w:rFonts w:ascii="ＭＳ ゴシック" w:eastAsia="ＭＳ ゴシック" w:hAnsi="ＭＳ ゴシック"/>
        </w:rPr>
      </w:pPr>
    </w:p>
    <w:sectPr w:rsidR="00601169" w:rsidRPr="00601169"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0F684" w14:textId="77777777" w:rsidR="00493BE3" w:rsidRDefault="00493BE3" w:rsidP="00E01510">
      <w:r>
        <w:separator/>
      </w:r>
    </w:p>
  </w:endnote>
  <w:endnote w:type="continuationSeparator" w:id="0">
    <w:p w14:paraId="719BF447" w14:textId="77777777" w:rsidR="00493BE3" w:rsidRDefault="00493BE3"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61068" w14:textId="77777777" w:rsidR="00493BE3" w:rsidRDefault="00493BE3" w:rsidP="00E01510">
      <w:r>
        <w:separator/>
      </w:r>
    </w:p>
  </w:footnote>
  <w:footnote w:type="continuationSeparator" w:id="0">
    <w:p w14:paraId="768143FA" w14:textId="77777777" w:rsidR="00493BE3" w:rsidRDefault="00493BE3"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4806D1"/>
    <w:rsid w:val="00493BE3"/>
    <w:rsid w:val="00502090"/>
    <w:rsid w:val="00601169"/>
    <w:rsid w:val="006A1964"/>
    <w:rsid w:val="00975F1A"/>
    <w:rsid w:val="00B03245"/>
    <w:rsid w:val="00C033D2"/>
    <w:rsid w:val="00E01510"/>
    <w:rsid w:val="00FD1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敏弘 小木</cp:lastModifiedBy>
  <cp:revision>2</cp:revision>
  <dcterms:created xsi:type="dcterms:W3CDTF">2024-05-23T11:57:00Z</dcterms:created>
  <dcterms:modified xsi:type="dcterms:W3CDTF">2024-05-23T11:57:00Z</dcterms:modified>
</cp:coreProperties>
</file>