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193C3D50"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6D0345">
        <w:rPr>
          <w:rFonts w:ascii="ＭＳ Ｐゴシック" w:eastAsia="ＭＳ Ｐゴシック" w:hAnsi="ＭＳ Ｐゴシック" w:hint="eastAsia"/>
          <w:b/>
          <w:bCs/>
          <w:sz w:val="28"/>
          <w:szCs w:val="28"/>
          <w:u w:val="single"/>
        </w:rPr>
        <w:t>私から始まる平和統一</w:t>
      </w:r>
      <w:r>
        <w:rPr>
          <w:rFonts w:ascii="ＭＳ Ｐゴシック" w:eastAsia="ＭＳ Ｐゴシック" w:hAnsi="ＭＳ Ｐゴシック" w:hint="eastAsia"/>
          <w:b/>
          <w:bCs/>
          <w:sz w:val="28"/>
          <w:szCs w:val="28"/>
          <w:u w:val="single"/>
        </w:rPr>
        <w:t xml:space="preserve">　　　　　　　　　　　　　</w:t>
      </w:r>
    </w:p>
    <w:p w14:paraId="55311EA3" w14:textId="4655D13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6D0345">
        <w:rPr>
          <w:rFonts w:ascii="ＭＳ Ｐゴシック" w:eastAsia="ＭＳ Ｐゴシック" w:hAnsi="ＭＳ Ｐゴシック" w:hint="eastAsia"/>
          <w:b/>
          <w:bCs/>
          <w:sz w:val="28"/>
          <w:szCs w:val="28"/>
          <w:u w:val="single"/>
        </w:rPr>
        <w:t>岡野園子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3DBE937B" w14:textId="77777777" w:rsidR="006D0345" w:rsidRPr="006D0345"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私は、日本人の父と韓国人の母の両親の元に生まれました。そして、韓国人の親戚と一年くらい一緒に住む事があったり、また当時大学生時代のバイト先の店長が在日コリアンの方で、韓国人の方と接する機会が多くありました。</w:t>
      </w:r>
    </w:p>
    <w:p w14:paraId="532CB165" w14:textId="77777777" w:rsidR="006D0345" w:rsidRPr="006D0345"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私は、韓国人の母の元で育ったので、韓国の文化などは少しわかりますが、韓国語はあまり出来なくて、在日コリアンの方や韓国の親戚の方と言葉の壁を感じることが多くありました。それは言葉が通じない事が苦しいという以上に、仲良くなりたいのになれないもどかしさや心を通わせられない苦しさを感じました。</w:t>
      </w:r>
    </w:p>
    <w:p w14:paraId="749E561E" w14:textId="77777777" w:rsidR="006D0345" w:rsidRPr="006D0345"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そんな私に転機がありました。韓国に住む親戚の所に遊びに行った時の事でした。いとこが「アナタと話すために日本語を勉強したの」と言われた時に、仲良くしようという気持ちがすごく伝わってとても嬉しかったし、実際に日本語で会話をすることを通して心が通じ合う喜びを感じました。そのような経験から私も韓国語を勉強し、親戚の方々ともっと仲良くなりたいなと思い、韓国の勉強を始めました。</w:t>
      </w:r>
    </w:p>
    <w:p w14:paraId="795AA259" w14:textId="77777777" w:rsidR="006D0345" w:rsidRPr="006D0345"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最初は韓国語の発音や文法などが難しくて勉強する事に葛藤していましたが、本を使って韓国人の母に教えて貰う事で少しずつ理解できるようになりました。韓国語で日常会話を話せるようになるまで、正直今も続いていますが、少しでも上達できるように日々頑張っています。韓国語を話せるようになるための努力は私にとって大変でしたが、苦痛とは感じませんでした。むしろ「韓国語を話せるようになって、いとこや在日コリアンの方と心が通じることの出来るようになりたい」と意欲的に取り組むことが出来ました。</w:t>
      </w:r>
    </w:p>
    <w:p w14:paraId="25132E70" w14:textId="77777777" w:rsidR="006D0345" w:rsidRPr="006D0345"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そして、韓国語を話せるようになった事で、自分の言葉で自分の気持ちを伝えることが出来る喜びを感じたり、趣味や旅行などの楽しさも深く感じる事ができました。</w:t>
      </w:r>
    </w:p>
    <w:p w14:paraId="759AFE4B" w14:textId="6BE94D23" w:rsidR="00601169" w:rsidRPr="00601169" w:rsidRDefault="006D0345" w:rsidP="006D0345">
      <w:pPr>
        <w:contextualSpacing/>
        <w:rPr>
          <w:rFonts w:ascii="ＭＳ ゴシック" w:eastAsia="ＭＳ ゴシック" w:hAnsi="ＭＳ ゴシック"/>
        </w:rPr>
      </w:pPr>
      <w:r w:rsidRPr="006D0345">
        <w:rPr>
          <w:rFonts w:ascii="ＭＳ ゴシック" w:eastAsia="ＭＳ ゴシック" w:hAnsi="ＭＳ ゴシック" w:hint="eastAsia"/>
        </w:rPr>
        <w:t>このような経験を通して、「私には出来ない」「私は苦手だ」というように心に壁を作ってしまうのではなく、壁を越えて一つになっていきたい、喜びを分かち合っていきたいと一歩踏み出す努力が大切だと学びました。韓国と日本は国境の壁、文化の壁、言語の壁がありますが、私の心の壁を越えることが韓日が一つになっていく道だと感じました。これからも韓国と日本が壁を越えて一つになる時を願いながら、私の心の壁を越えていけるように努力していきたいと思います。</w:t>
      </w: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6A62" w14:textId="77777777" w:rsidR="004F5BE8" w:rsidRDefault="004F5BE8" w:rsidP="00E01510">
      <w:r>
        <w:separator/>
      </w:r>
    </w:p>
  </w:endnote>
  <w:endnote w:type="continuationSeparator" w:id="0">
    <w:p w14:paraId="354C2566" w14:textId="77777777" w:rsidR="004F5BE8" w:rsidRDefault="004F5BE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CA5A" w14:textId="77777777" w:rsidR="004F5BE8" w:rsidRDefault="004F5BE8" w:rsidP="00E01510">
      <w:r>
        <w:separator/>
      </w:r>
    </w:p>
  </w:footnote>
  <w:footnote w:type="continuationSeparator" w:id="0">
    <w:p w14:paraId="745E6854" w14:textId="77777777" w:rsidR="004F5BE8" w:rsidRDefault="004F5BE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4F5BE8"/>
    <w:rsid w:val="00502090"/>
    <w:rsid w:val="00601169"/>
    <w:rsid w:val="006A1964"/>
    <w:rsid w:val="006D0345"/>
    <w:rsid w:val="006F70BC"/>
    <w:rsid w:val="00B03245"/>
    <w:rsid w:val="00C033D2"/>
    <w:rsid w:val="00DE2224"/>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僚一 佐山</cp:lastModifiedBy>
  <cp:revision>2</cp:revision>
  <dcterms:created xsi:type="dcterms:W3CDTF">2024-03-31T10:39:00Z</dcterms:created>
  <dcterms:modified xsi:type="dcterms:W3CDTF">2024-06-02T11:01:00Z</dcterms:modified>
</cp:coreProperties>
</file>